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5D" w:rsidRDefault="00D84F5D" w:rsidP="00AE1CA1">
      <w:pPr>
        <w:bidi/>
        <w:jc w:val="right"/>
      </w:pPr>
      <w:bookmarkStart w:id="0" w:name="_GoBack"/>
      <w:bookmarkEnd w:id="0"/>
    </w:p>
    <w:p w:rsidR="00AE1CA1" w:rsidRPr="008D3529" w:rsidRDefault="00AE1CA1" w:rsidP="00D84F5D">
      <w:pPr>
        <w:bidi/>
        <w:jc w:val="right"/>
        <w:rPr>
          <w:rtl/>
        </w:rPr>
      </w:pPr>
      <w:r w:rsidRPr="008D3529">
        <w:rPr>
          <w:rFonts w:hint="cs"/>
          <w:rtl/>
        </w:rPr>
        <w:t>8/8/2014</w:t>
      </w:r>
    </w:p>
    <w:p w:rsidR="00AE1CA1" w:rsidRDefault="00AE1CA1" w:rsidP="00AE1CA1">
      <w:pPr>
        <w:bidi/>
        <w:jc w:val="center"/>
        <w:rPr>
          <w:b/>
          <w:bCs/>
          <w:u w:val="single"/>
          <w:rtl/>
        </w:rPr>
      </w:pPr>
      <w:r w:rsidRPr="008D3529">
        <w:rPr>
          <w:rFonts w:hint="cs"/>
          <w:b/>
          <w:bCs/>
          <w:u w:val="single"/>
          <w:rtl/>
        </w:rPr>
        <w:t xml:space="preserve">תכנית </w:t>
      </w:r>
      <w:proofErr w:type="spellStart"/>
      <w:r w:rsidRPr="008D3529">
        <w:rPr>
          <w:rFonts w:hint="cs"/>
          <w:b/>
          <w:bCs/>
          <w:u w:val="single"/>
          <w:rtl/>
        </w:rPr>
        <w:t>אלקטיב</w:t>
      </w:r>
      <w:proofErr w:type="spellEnd"/>
      <w:r w:rsidRPr="008D3529">
        <w:rPr>
          <w:rFonts w:hint="cs"/>
          <w:b/>
          <w:bCs/>
          <w:u w:val="single"/>
          <w:rtl/>
        </w:rPr>
        <w:t xml:space="preserve"> במחלות זיהומיות, 2014</w:t>
      </w:r>
    </w:p>
    <w:p w:rsidR="00AE1CA1" w:rsidRDefault="00AE1CA1" w:rsidP="00AE1CA1">
      <w:pPr>
        <w:bidi/>
        <w:jc w:val="center"/>
        <w:rPr>
          <w:b/>
          <w:bCs/>
          <w:u w:val="single"/>
          <w:rtl/>
        </w:rPr>
      </w:pPr>
    </w:p>
    <w:p w:rsidR="00AE1CA1" w:rsidRDefault="00AE1CA1" w:rsidP="00AE1CA1">
      <w:pPr>
        <w:bidi/>
        <w:rPr>
          <w:rtl/>
        </w:rPr>
      </w:pPr>
      <w:r>
        <w:rPr>
          <w:rFonts w:hint="cs"/>
          <w:rtl/>
        </w:rPr>
        <w:t xml:space="preserve">מטרת הסבב הקליני ביחידה למחלות זיהומיות היא להקנות לסטודנטים כלים קליניים בסיסיים בתחום המחלות הזיהומיות. הסטודנטים יצטרפו לצוות היחידה במהלך הביקורים </w:t>
      </w:r>
      <w:proofErr w:type="spellStart"/>
      <w:r>
        <w:rPr>
          <w:rFonts w:hint="cs"/>
          <w:rtl/>
        </w:rPr>
        <w:t>והיעוצים</w:t>
      </w:r>
      <w:proofErr w:type="spellEnd"/>
      <w:r>
        <w:rPr>
          <w:rFonts w:hint="cs"/>
          <w:rtl/>
        </w:rPr>
        <w:t xml:space="preserve"> במחלקות בית החולים ובמרפאות וישתתפו בדיונים הקליניים ובסמינרים העיוניים המתקיימים ביחידה. הוראה תתקיים בצורת דיונים בקבוצות קטנות עם רופא בכיר, וכן במסגרת ביקורים מודרכים.</w:t>
      </w:r>
    </w:p>
    <w:p w:rsidR="00AE1CA1" w:rsidRDefault="00AE1CA1" w:rsidP="00AE1CA1">
      <w:pPr>
        <w:bidi/>
        <w:rPr>
          <w:b/>
          <w:bCs/>
          <w:u w:val="single"/>
          <w:rtl/>
        </w:rPr>
      </w:pPr>
    </w:p>
    <w:p w:rsidR="00AE1CA1" w:rsidRPr="008B4862" w:rsidRDefault="00AE1CA1" w:rsidP="00AE1CA1">
      <w:pPr>
        <w:bidi/>
        <w:rPr>
          <w:b/>
          <w:bCs/>
          <w:u w:val="single"/>
          <w:rtl/>
        </w:rPr>
      </w:pPr>
      <w:r w:rsidRPr="008B4862">
        <w:rPr>
          <w:rFonts w:hint="cs"/>
          <w:b/>
          <w:bCs/>
          <w:u w:val="single"/>
          <w:rtl/>
        </w:rPr>
        <w:t>סדר זמנים שבועי</w:t>
      </w:r>
    </w:p>
    <w:tbl>
      <w:tblPr>
        <w:bidiVisual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609"/>
        <w:gridCol w:w="1417"/>
        <w:gridCol w:w="1418"/>
        <w:gridCol w:w="3828"/>
      </w:tblGrid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B579E9">
              <w:rPr>
                <w:rFonts w:eastAsia="Calibri"/>
                <w:b/>
                <w:bCs/>
                <w:rtl/>
              </w:rPr>
              <w:t>יום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B579E9">
              <w:rPr>
                <w:rFonts w:eastAsia="Calibri"/>
                <w:b/>
                <w:bCs/>
                <w:rtl/>
              </w:rPr>
              <w:t xml:space="preserve">פעילות 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שעה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מקום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B579E9">
              <w:rPr>
                <w:rFonts w:eastAsia="Calibri"/>
                <w:b/>
                <w:bCs/>
                <w:rtl/>
              </w:rPr>
              <w:t>משתתפים</w:t>
            </w:r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יום א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מועדון ספרות שבועי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08:30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ח ישיבות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רופאי היחידה,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הצגת מקרים קליניים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ח ישיבות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רופאי היחידה,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יום ב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ישיבת מעבדה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14:30-15:00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מעבדה מיקרוביולוגית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מנהל וצוות המעבדה המיקרוביולוגית, רופאי היחידה,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מרפאת מחלות זיהומיות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08:00-12:00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מרפאות אגף א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רופאי היחידה</w:t>
            </w:r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יום ג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ישיבת אגף פנימי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14:00-15:00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ח ישיבות קומה -2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סגל האגף הפנימי</w:t>
            </w:r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יום ד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ישיבה שבועית, הצגת מקרים קליניים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08:30-11:00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ח ישיבות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רופאי היחידה, מנהל המעבדה המיקרוביולוגית,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ישיבת </w:t>
            </w:r>
            <w:r w:rsidRPr="00B579E9">
              <w:rPr>
                <w:rFonts w:eastAsia="Calibri"/>
              </w:rPr>
              <w:t>HIV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13:00-14:00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ח ישיבות אימונולוגיה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רופאי היחידה, צוות מרכז האיידס</w:t>
            </w:r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lastRenderedPageBreak/>
              <w:t>יום ד פעם בחודש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ישיבה משותפת עם המחלקה לבקרת זיהומים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10:00-11:00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ח ישיבות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רופאי היחידה, מנהל וצוות המחלקה לבקרת זיהומים, מנהל המעבדה המיקרוביולוגית,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יום ה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ישיבת מעבדה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12:00-12:30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מעבדה מיקרוביולוגית</w:t>
            </w: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מנהל וצוות המעבדה המיקרוביולוגית, רופאי היחידה,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יום א-ה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ביקורים במחלקות בית החולים, מתן </w:t>
            </w:r>
            <w:proofErr w:type="spellStart"/>
            <w:r w:rsidRPr="00B579E9">
              <w:rPr>
                <w:rFonts w:eastAsia="Calibri"/>
                <w:rtl/>
              </w:rPr>
              <w:t>יעוצים</w:t>
            </w:r>
            <w:proofErr w:type="spellEnd"/>
            <w:r w:rsidRPr="00B579E9">
              <w:rPr>
                <w:rFonts w:eastAsia="Calibri"/>
                <w:rtl/>
              </w:rPr>
              <w:t>, דיונים קליניים, הדרכה ליד מיטת החולה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רופאי היחידה,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 w:hint="cs"/>
                <w:rtl/>
              </w:rPr>
              <w:t>ימים א, ב, ג, ה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 w:hint="cs"/>
                <w:rtl/>
              </w:rPr>
              <w:t>מרפאת יעוץ למטייל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12:30-15:00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proofErr w:type="spellStart"/>
            <w:r>
              <w:rPr>
                <w:rFonts w:eastAsia="Calibri" w:hint="cs"/>
                <w:rtl/>
              </w:rPr>
              <w:t>מלרם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 xml:space="preserve">רופאי היחידה, סטודנטים </w:t>
            </w:r>
            <w:proofErr w:type="spellStart"/>
            <w:r w:rsidRPr="00B579E9">
              <w:rPr>
                <w:rFonts w:eastAsia="Calibri"/>
                <w:rtl/>
              </w:rPr>
              <w:t>ורוטציונרים</w:t>
            </w:r>
            <w:proofErr w:type="spellEnd"/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 w:hint="cs"/>
                <w:rtl/>
              </w:rPr>
              <w:t>יום ה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 w:hint="cs"/>
                <w:rtl/>
              </w:rPr>
              <w:t xml:space="preserve">מרפאת </w:t>
            </w:r>
            <w:r>
              <w:rPr>
                <w:rFonts w:eastAsia="Calibri" w:hint="cs"/>
                <w:rtl/>
              </w:rPr>
              <w:t>מחלות טרופיות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10:00-12:00</w:t>
            </w: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 w:hint="cs"/>
                <w:rtl/>
              </w:rPr>
              <w:t>ד"ר יעל פראן, פרופ' סטיב ברגר</w:t>
            </w:r>
          </w:p>
        </w:tc>
      </w:tr>
      <w:tr w:rsidR="00AE1CA1" w:rsidRPr="00A47470" w:rsidTr="00E94D5C">
        <w:tc>
          <w:tcPr>
            <w:tcW w:w="89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יום א-ה</w:t>
            </w:r>
          </w:p>
        </w:tc>
        <w:tc>
          <w:tcPr>
            <w:tcW w:w="2609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ישיבות ניהול אנטיביוטיקה</w:t>
            </w:r>
          </w:p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</w:rPr>
            </w:pPr>
            <w:r w:rsidRPr="00B579E9">
              <w:rPr>
                <w:rFonts w:eastAsia="Calibri"/>
              </w:rPr>
              <w:t>Antibiotic stewardship</w:t>
            </w:r>
          </w:p>
        </w:tc>
        <w:tc>
          <w:tcPr>
            <w:tcW w:w="1417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1418" w:type="dxa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</w:p>
        </w:tc>
        <w:tc>
          <w:tcPr>
            <w:tcW w:w="3828" w:type="dxa"/>
            <w:shd w:val="clear" w:color="auto" w:fill="auto"/>
          </w:tcPr>
          <w:p w:rsidR="00AE1CA1" w:rsidRPr="00B579E9" w:rsidRDefault="00AE1CA1" w:rsidP="00E94D5C">
            <w:pPr>
              <w:bidi/>
              <w:spacing w:line="360" w:lineRule="auto"/>
              <w:rPr>
                <w:rFonts w:eastAsia="Calibri"/>
                <w:rtl/>
              </w:rPr>
            </w:pPr>
            <w:r w:rsidRPr="00B579E9">
              <w:rPr>
                <w:rFonts w:eastAsia="Calibri"/>
                <w:rtl/>
              </w:rPr>
              <w:t>רופאי היחידה, רופאים בכירים ומתמחים ממחלקות בית החולים</w:t>
            </w:r>
          </w:p>
        </w:tc>
      </w:tr>
    </w:tbl>
    <w:p w:rsidR="00AE1CA1" w:rsidRDefault="00AE1CA1" w:rsidP="00AE1CA1">
      <w:pPr>
        <w:bidi/>
        <w:rPr>
          <w:rtl/>
        </w:rPr>
      </w:pPr>
    </w:p>
    <w:p w:rsidR="00AE1CA1" w:rsidRDefault="00AE1CA1" w:rsidP="00AE1CA1">
      <w:pPr>
        <w:bidi/>
        <w:rPr>
          <w:rtl/>
        </w:rPr>
      </w:pPr>
    </w:p>
    <w:p w:rsidR="00AE1CA1" w:rsidRDefault="00AE1CA1" w:rsidP="00AE1CA1">
      <w:pPr>
        <w:bidi/>
        <w:rPr>
          <w:rtl/>
        </w:rPr>
      </w:pPr>
      <w:r w:rsidRPr="00567959">
        <w:rPr>
          <w:rFonts w:hint="cs"/>
          <w:b/>
          <w:bCs/>
          <w:rtl/>
        </w:rPr>
        <w:t>טיוטור</w:t>
      </w:r>
      <w:r>
        <w:rPr>
          <w:rFonts w:hint="cs"/>
          <w:b/>
          <w:bCs/>
          <w:rtl/>
        </w:rPr>
        <w:t xml:space="preserve"> אחראי</w:t>
      </w:r>
      <w:r w:rsidRPr="00567959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ד"ר רונית כהן</w:t>
      </w:r>
    </w:p>
    <w:p w:rsidR="00AE1CA1" w:rsidRDefault="00AE1CA1" w:rsidP="00AE1CA1">
      <w:pPr>
        <w:bidi/>
        <w:rPr>
          <w:rtl/>
        </w:rPr>
      </w:pPr>
      <w:r w:rsidRPr="007D725E">
        <w:rPr>
          <w:rFonts w:hint="cs"/>
          <w:b/>
          <w:bCs/>
          <w:rtl/>
        </w:rPr>
        <w:t>מספר סטודנטים: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היחידה יכולה לקלוט עד 2 סטודנטים בו זמנית</w:t>
      </w:r>
    </w:p>
    <w:p w:rsidR="00AE1CA1" w:rsidRDefault="00AE1CA1" w:rsidP="00AE1CA1">
      <w:pPr>
        <w:bidi/>
        <w:rPr>
          <w:b/>
          <w:bCs/>
          <w:rtl/>
        </w:rPr>
      </w:pPr>
      <w:r w:rsidRPr="005652F7">
        <w:rPr>
          <w:rFonts w:hint="cs"/>
          <w:b/>
          <w:bCs/>
          <w:rtl/>
        </w:rPr>
        <w:t>דרישות מסטודנט</w:t>
      </w:r>
      <w:r>
        <w:rPr>
          <w:rFonts w:hint="cs"/>
          <w:b/>
          <w:bCs/>
          <w:rtl/>
        </w:rPr>
        <w:t>ים</w:t>
      </w:r>
      <w:r w:rsidRPr="005652F7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</w:p>
    <w:p w:rsidR="00AE1CA1" w:rsidRDefault="00AE1CA1" w:rsidP="00AE1CA1">
      <w:pPr>
        <w:bidi/>
        <w:rPr>
          <w:rtl/>
        </w:rPr>
      </w:pPr>
      <w:r>
        <w:rPr>
          <w:rFonts w:hint="cs"/>
          <w:rtl/>
        </w:rPr>
        <w:t>קבלת חולה אחד בשבוע והצגתו בפני רופא בכיר או בפגישת היחידה</w:t>
      </w:r>
    </w:p>
    <w:p w:rsidR="00AE1CA1" w:rsidRDefault="00AE1CA1" w:rsidP="00AE1CA1">
      <w:pPr>
        <w:bidi/>
        <w:rPr>
          <w:rtl/>
        </w:rPr>
      </w:pPr>
      <w:r>
        <w:rPr>
          <w:rFonts w:hint="cs"/>
          <w:rtl/>
        </w:rPr>
        <w:t>הצגת סמינר אחד במהלך הסבב בנושא שיבחר בתאום עם הטיוטור</w:t>
      </w:r>
    </w:p>
    <w:p w:rsidR="00AE1CA1" w:rsidRDefault="00AE1CA1" w:rsidP="00AE1CA1">
      <w:pPr>
        <w:bidi/>
        <w:rPr>
          <w:rtl/>
        </w:rPr>
      </w:pPr>
    </w:p>
    <w:p w:rsidR="00AE1CA1" w:rsidRDefault="00AE1CA1" w:rsidP="00AE1CA1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E1CA1" w:rsidRDefault="00AE1CA1" w:rsidP="00AE1CA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סילבוס</w:t>
      </w:r>
      <w:r w:rsidRPr="00E30DDF">
        <w:rPr>
          <w:rFonts w:hint="cs"/>
          <w:b/>
          <w:bCs/>
          <w:rtl/>
        </w:rPr>
        <w:t>:</w:t>
      </w:r>
    </w:p>
    <w:tbl>
      <w:tblPr>
        <w:bidiVisual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961"/>
        <w:gridCol w:w="2127"/>
      </w:tblGrid>
      <w:tr w:rsidR="00AE1CA1" w:rsidRPr="00E30DDF" w:rsidTr="00D65BC4">
        <w:trPr>
          <w:trHeight w:val="720"/>
        </w:trPr>
        <w:tc>
          <w:tcPr>
            <w:tcW w:w="2227" w:type="dxa"/>
            <w:shd w:val="clear" w:color="auto" w:fill="auto"/>
            <w:noWrap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b/>
                <w:bCs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b/>
                <w:bCs/>
                <w:color w:val="000000"/>
                <w:sz w:val="20"/>
                <w:szCs w:val="20"/>
                <w:rtl/>
              </w:rPr>
              <w:t>נושא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b/>
                <w:bCs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b/>
                <w:bCs/>
                <w:color w:val="000000"/>
                <w:sz w:val="20"/>
                <w:szCs w:val="20"/>
                <w:rtl/>
              </w:rPr>
              <w:t xml:space="preserve">תוכן 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(Hebrew)" w:eastAsia="Times New Roman" w:hAnsi="Arial (Hebrew)" w:cs="Arial (Hebrew)" w:hint="cs"/>
                <w:b/>
                <w:bCs/>
                <w:color w:val="000000"/>
                <w:sz w:val="20"/>
                <w:szCs w:val="20"/>
                <w:rtl/>
              </w:rPr>
              <w:t>קריאה מומלצת</w:t>
            </w:r>
          </w:p>
        </w:tc>
      </w:tr>
      <w:tr w:rsidR="00AE1CA1" w:rsidRPr="00E30DDF" w:rsidTr="00D65BC4">
        <w:trPr>
          <w:trHeight w:val="1181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הגישה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לשמוש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באנטיביוטיקה</w:t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עקרונות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קלינים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פרמקוקינטים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ו</w:t>
            </w:r>
            <w:r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פרמקודינמים</w:t>
            </w:r>
            <w:proofErr w:type="spellEnd"/>
            <w:r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בטפול באנטיביוטיקה.</w:t>
            </w:r>
            <w:r>
              <w:rPr>
                <w:rFonts w:ascii="Arial (Hebrew)" w:eastAsia="Times New Roman" w:hAnsi="Arial (Hebrew)" w:cs="Arial (Hebrew)" w:hint="cs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קבוצות עיקריות של תרופות אנטיביוטיות.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שמוש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מושכל באנטיביוטיקה במתארים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קלינים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שכיחים.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שמוש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בנתונים מעבדתיים למיטוב הטפול האנטיביוטי.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B0271F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  <w:r w:rsidR="00245F66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pp</w:t>
            </w:r>
            <w:proofErr w:type="spellEnd"/>
            <w:r w:rsidR="00B0271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:</w:t>
            </w:r>
            <w:r w:rsidR="00245F66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1133-50</w:t>
            </w:r>
          </w:p>
        </w:tc>
      </w:tr>
      <w:tr w:rsidR="00AE1CA1" w:rsidRPr="00E30DDF" w:rsidTr="00D65BC4">
        <w:trPr>
          <w:trHeight w:val="1269"/>
        </w:trPr>
        <w:tc>
          <w:tcPr>
            <w:tcW w:w="2227" w:type="dxa"/>
            <w:shd w:val="clear" w:color="auto" w:fill="auto"/>
            <w:hideMark/>
          </w:tcPr>
          <w:p w:rsidR="00AE1CA1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AIDS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  <w:t xml:space="preserve">HIV </w:t>
            </w:r>
            <w:r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–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</w:t>
            </w:r>
          </w:p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החולה </w:t>
            </w:r>
            <w:r>
              <w:rPr>
                <w:rFonts w:ascii="Arial (Hebrew)" w:eastAsia="Times New Roman" w:hAnsi="Arial (Hebrew)" w:cs="Arial (Hebrew)" w:hint="cs"/>
                <w:color w:val="000000"/>
                <w:sz w:val="20"/>
                <w:szCs w:val="20"/>
                <w:rtl/>
              </w:rPr>
              <w:t>ו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המחלה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HIV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פתוגנזה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אפידמיולוגיה,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בטויים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קלינים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, אבחנה וטיפול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  <w:t xml:space="preserve">AIDS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מחלות, אבחנה, טפול והיבטים חברתיים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B0271F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pp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: 1500-87</w:t>
            </w:r>
          </w:p>
        </w:tc>
      </w:tr>
      <w:tr w:rsidR="00AE1CA1" w:rsidRPr="00E30DDF" w:rsidTr="00D65BC4">
        <w:trPr>
          <w:trHeight w:val="1397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הגישה לחולה עם דיכוי חיסוני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מערכת החיסון, הרכבה ותפקודה. </w:t>
            </w:r>
            <w:r w:rsidRPr="00E30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br/>
              <w:t>הקשר בין פגיעה ספציפית במערכת החיסון לזיהומים מסו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גים שונים. הדיכוי החיסוני</w:t>
            </w:r>
            <w:r w:rsidRPr="00E30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במחלות מסוימות (מחלות ממאירו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ת, השתלות, מחלות אוטואימוניות).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מניעת זיהומים בחולים עם דיכוי חיסוני.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B0271F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  <w:t xml:space="preserve"> 18th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br/>
              <w:t xml:space="preserve"> pp: 1007-1012, 1120-1132 </w:t>
            </w:r>
          </w:p>
        </w:tc>
      </w:tr>
      <w:tr w:rsidR="00AE1CA1" w:rsidRPr="00E30DDF" w:rsidTr="00D65BC4">
        <w:trPr>
          <w:trHeight w:val="983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זיהומים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>בדרכי השתן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פתוגנזה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אפידמיולוגיה, ביטויים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קלינים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אבחנה וטיפול של זיהומים שונים בדרכי השתן, כולל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ציסטיטיס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פילונפריטיס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בקטרי</w:t>
            </w:r>
            <w:r w:rsidR="00F36445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וריה</w:t>
            </w:r>
            <w:proofErr w:type="spellEnd"/>
            <w:r w:rsidR="00F36445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מורסה בכליה </w:t>
            </w:r>
            <w:proofErr w:type="spellStart"/>
            <w:r w:rsidR="00F36445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ופרוסטטיטיס</w:t>
            </w:r>
            <w:proofErr w:type="spellEnd"/>
            <w:r w:rsidR="00F36445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B0271F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pp</w:t>
            </w:r>
            <w:proofErr w:type="spellEnd"/>
            <w:r w:rsidR="00B0271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: </w:t>
            </w:r>
            <w:r w:rsidR="00B0271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2387-95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</w:p>
        </w:tc>
      </w:tr>
      <w:tr w:rsidR="00AE1CA1" w:rsidRPr="00E30DDF" w:rsidTr="00D65BC4">
        <w:trPr>
          <w:trHeight w:val="1350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ספסיס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הלם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ספטי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גורמי אלימות של חיידקים, מנגנוני הגנה של המאכסן ואינטראקציה בין טפיל ומאכסן. הגדרות של התסמונות השונות והסימנים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הקלינים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של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ספסיס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והלם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ספטי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.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פתוגנזה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שכיחות ואבחנה. סוגי חיידקים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בספסיס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שנרכש בקהילה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וב</w:t>
            </w:r>
            <w:r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ספסיס</w:t>
            </w:r>
            <w:proofErr w:type="spellEnd"/>
            <w:r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שנרכש בבית חולים.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בחירת </w:t>
            </w:r>
            <w:r>
              <w:rPr>
                <w:rFonts w:ascii="Arial (Hebrew)" w:eastAsia="Times New Roman" w:hAnsi="Arial (Hebrew)" w:cs="Arial (Hebrew)" w:hint="cs"/>
                <w:color w:val="000000"/>
                <w:sz w:val="20"/>
                <w:szCs w:val="20"/>
                <w:rtl/>
              </w:rPr>
              <w:t xml:space="preserve">טיפול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אנטיביוטי</w:t>
            </w:r>
            <w:r>
              <w:rPr>
                <w:rFonts w:ascii="Arial (Hebrew)" w:eastAsia="Times New Roman" w:hAnsi="Arial (Hebrew)" w:cs="Arial (Hebrew)" w:hint="cs"/>
                <w:color w:val="000000"/>
                <w:sz w:val="20"/>
                <w:szCs w:val="20"/>
                <w:rtl/>
              </w:rPr>
              <w:t xml:space="preserve"> מתאים.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B0271F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pp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: 2223-32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</w:p>
        </w:tc>
      </w:tr>
      <w:tr w:rsidR="00AE1CA1" w:rsidRPr="00E30DDF" w:rsidTr="00D65BC4">
        <w:trPr>
          <w:trHeight w:val="978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דלקת ראות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>ושחפת</w:t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דלקות בדרכי</w:t>
            </w:r>
            <w:r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נשימה עליונות ותחתונות.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פתוגנזה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הסתמנות קלינית, אפידמיולוגיה,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פתוגנים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אבחנה וטיפול. 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B0271F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2130-2146</w:t>
            </w:r>
            <w:r w:rsidR="00B0271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  </w:t>
            </w:r>
            <w:r w:rsidR="00B0271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1340-59</w:t>
            </w:r>
          </w:p>
        </w:tc>
      </w:tr>
      <w:tr w:rsidR="00AE1CA1" w:rsidRPr="00E30DDF" w:rsidTr="00D65BC4">
        <w:trPr>
          <w:trHeight w:val="864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sz w:val="20"/>
                <w:szCs w:val="20"/>
                <w:rtl/>
              </w:rPr>
              <w:t>הגישה לחולה הפונה לחדר מיון עקב מחלת חום חריפה</w:t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אבחנה </w:t>
            </w:r>
            <w:r w:rsidRPr="00E30DD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מבדלת, בדיקות ראשוניות וטיפול בחולה הפונה לחדר המיון עם מחלת חום חריפה. 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A53B73">
            <w:pPr>
              <w:spacing w:after="0" w:line="240" w:lineRule="auto"/>
              <w:rPr>
                <w:rFonts w:ascii="Arial (Hebrew)" w:eastAsia="Times New Roman" w:hAnsi="Arial (Hebrew)" w:cs="Arial (Hebrew)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sz w:val="20"/>
                <w:szCs w:val="20"/>
                <w:rtl/>
              </w:rPr>
              <w:br/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sz w:val="20"/>
                <w:szCs w:val="20"/>
              </w:rPr>
              <w:t>pp</w:t>
            </w:r>
            <w:proofErr w:type="spellEnd"/>
            <w:r w:rsidRPr="00E30DDF">
              <w:rPr>
                <w:rFonts w:ascii="Arial (Hebrew)" w:eastAsia="Times New Roman" w:hAnsi="Arial (Hebrew)" w:cs="Arial (Hebrew)"/>
                <w:sz w:val="20"/>
                <w:szCs w:val="20"/>
              </w:rPr>
              <w:t xml:space="preserve"> 1023-30</w:t>
            </w:r>
          </w:p>
        </w:tc>
      </w:tr>
      <w:tr w:rsidR="00AE1CA1" w:rsidRPr="00E30DDF" w:rsidTr="00D65BC4">
        <w:trPr>
          <w:trHeight w:val="1149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אנדוקרדיטיס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הפתוגנזה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של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אנדוקרדיטיס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סימנים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קלינים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אופיינים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השוואה בין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אנדוקרדיטיס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חריפה ותת חריפה, החיידקים הגורמים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לאנדוקרדיטיס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, הקריטריונים לאבחנה, ההוראות לטיפול מונע ועקרונות הטיפול במחלה.</w:t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A53B73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pp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: 1052-63</w:t>
            </w:r>
          </w:p>
        </w:tc>
      </w:tr>
      <w:tr w:rsidR="00AE1CA1" w:rsidRPr="00E30DDF" w:rsidTr="00D65BC4">
        <w:trPr>
          <w:trHeight w:val="1149"/>
        </w:trPr>
        <w:tc>
          <w:tcPr>
            <w:tcW w:w="2227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lastRenderedPageBreak/>
              <w:t xml:space="preserve">מנינגיטיס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ואנצפליטיס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4961" w:type="dxa"/>
            <w:shd w:val="clear" w:color="auto" w:fill="auto"/>
            <w:hideMark/>
          </w:tcPr>
          <w:p w:rsidR="00AE1CA1" w:rsidRPr="00E30DDF" w:rsidRDefault="00AE1CA1" w:rsidP="00E94D5C">
            <w:pPr>
              <w:bidi/>
              <w:spacing w:after="24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</w:pP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פתוגנזה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אפידמיולוגיה, ביטויים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קלינים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, אבחנה וטיפול של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מינגיטיס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ואנצפליטיס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ע"י מחוללים שונים.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2127" w:type="dxa"/>
            <w:shd w:val="clear" w:color="auto" w:fill="auto"/>
            <w:hideMark/>
          </w:tcPr>
          <w:p w:rsidR="00AE1CA1" w:rsidRPr="00E30DDF" w:rsidRDefault="00AE1CA1" w:rsidP="00A53B73">
            <w:pPr>
              <w:spacing w:after="0" w:line="240" w:lineRule="auto"/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u w:val="single"/>
              </w:rPr>
            </w:pP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Harrison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18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th</w:t>
            </w:r>
            <w:proofErr w:type="spellEnd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Edition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  <w:proofErr w:type="spellStart"/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>pp</w:t>
            </w:r>
            <w:proofErr w:type="spellEnd"/>
            <w:r w:rsidR="00A53B73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 xml:space="preserve">: </w:t>
            </w:r>
            <w:r w:rsidR="00A53B73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</w:rPr>
              <w:t xml:space="preserve"> 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t>3410-34</w:t>
            </w:r>
            <w:r w:rsidRPr="00E30DDF">
              <w:rPr>
                <w:rFonts w:ascii="Arial (Hebrew)" w:eastAsia="Times New Roman" w:hAnsi="Arial (Hebrew)" w:cs="Arial (Hebrew)"/>
                <w:color w:val="000000"/>
                <w:sz w:val="20"/>
                <w:szCs w:val="20"/>
                <w:rtl/>
              </w:rPr>
              <w:br/>
              <w:t xml:space="preserve"> </w:t>
            </w:r>
          </w:p>
        </w:tc>
      </w:tr>
    </w:tbl>
    <w:p w:rsidR="00AE1CA1" w:rsidRDefault="00AE1CA1" w:rsidP="00AE1CA1">
      <w:pPr>
        <w:bidi/>
        <w:rPr>
          <w:rtl/>
        </w:rPr>
      </w:pPr>
    </w:p>
    <w:p w:rsidR="00AE1CA1" w:rsidRPr="00E30DDF" w:rsidRDefault="00AE1CA1" w:rsidP="00AE1CA1">
      <w:pPr>
        <w:bidi/>
      </w:pPr>
    </w:p>
    <w:p w:rsidR="00AE1CA1" w:rsidRPr="00E30DDF" w:rsidRDefault="00AE1CA1" w:rsidP="00AE1CA1">
      <w:pPr>
        <w:bidi/>
        <w:rPr>
          <w:rtl/>
        </w:rPr>
      </w:pPr>
    </w:p>
    <w:p w:rsidR="00011614" w:rsidRPr="00D846C7" w:rsidRDefault="00011614" w:rsidP="00D846C7">
      <w:pPr>
        <w:jc w:val="right"/>
        <w:rPr>
          <w:rtl/>
        </w:rPr>
      </w:pPr>
    </w:p>
    <w:sectPr w:rsidR="00011614" w:rsidRPr="00D846C7" w:rsidSect="00207DD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64" w:rsidRDefault="00F90764" w:rsidP="003934C5">
      <w:pPr>
        <w:spacing w:after="0" w:line="240" w:lineRule="auto"/>
      </w:pPr>
      <w:r>
        <w:separator/>
      </w:r>
    </w:p>
  </w:endnote>
  <w:endnote w:type="continuationSeparator" w:id="0">
    <w:p w:rsidR="00F90764" w:rsidRDefault="00F90764" w:rsidP="0039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(Hebrew)"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1F" w:rsidRDefault="00367B1F" w:rsidP="00E05F94">
    <w:pPr>
      <w:pStyle w:val="a8"/>
    </w:pPr>
  </w:p>
  <w:p w:rsidR="00367B1F" w:rsidRDefault="00367B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64" w:rsidRDefault="00F90764" w:rsidP="003934C5">
      <w:pPr>
        <w:spacing w:after="0" w:line="240" w:lineRule="auto"/>
      </w:pPr>
      <w:r>
        <w:separator/>
      </w:r>
    </w:p>
  </w:footnote>
  <w:footnote w:type="continuationSeparator" w:id="0">
    <w:p w:rsidR="00F90764" w:rsidRDefault="00F90764" w:rsidP="0039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C5" w:rsidRDefault="0033416F" w:rsidP="00367B1F">
    <w:pPr>
      <w:pStyle w:val="a6"/>
      <w:jc w:val="center"/>
    </w:pPr>
    <w:r w:rsidRPr="00400C4E">
      <w:rPr>
        <w:rFonts w:cs="David"/>
        <w:b/>
        <w:bCs/>
        <w:sz w:val="24"/>
        <w:szCs w:val="24"/>
      </w:rPr>
      <w:object w:dxaOrig="4243" w:dyaOrig="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55pt;height:27.15pt" o:ole="">
          <v:imagedata r:id="rId1" o:title=""/>
        </v:shape>
        <o:OLEObject Type="Embed" ProgID="CorelDraw.Graphic.7" ShapeID="_x0000_i1025" DrawAspect="Content" ObjectID="_1564121841" r:id="rId2"/>
      </w:object>
    </w:r>
  </w:p>
  <w:p w:rsidR="003934C5" w:rsidRDefault="0033416F" w:rsidP="0033416F">
    <w:pPr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 xml:space="preserve">          </w:t>
    </w:r>
    <w:r w:rsidRPr="00AB79A6">
      <w:rPr>
        <w:rFonts w:cs="David"/>
        <w:b/>
        <w:bCs/>
        <w:sz w:val="28"/>
        <w:szCs w:val="28"/>
      </w:rPr>
      <w:t xml:space="preserve">Tel Aviv </w:t>
    </w:r>
    <w:proofErr w:type="spellStart"/>
    <w:r w:rsidRPr="00AB79A6">
      <w:rPr>
        <w:rFonts w:cs="David"/>
        <w:b/>
        <w:bCs/>
        <w:sz w:val="28"/>
        <w:szCs w:val="28"/>
      </w:rPr>
      <w:t>Sourasky</w:t>
    </w:r>
    <w:proofErr w:type="spellEnd"/>
    <w:r w:rsidRPr="00AB79A6">
      <w:rPr>
        <w:rFonts w:cs="David"/>
        <w:b/>
        <w:bCs/>
        <w:sz w:val="28"/>
        <w:szCs w:val="28"/>
      </w:rPr>
      <w:t xml:space="preserve"> Medical Center</w:t>
    </w:r>
  </w:p>
  <w:tbl>
    <w:tblPr>
      <w:tblpPr w:leftFromText="180" w:rightFromText="180" w:vertAnchor="text" w:horzAnchor="margin" w:tblpXSpec="center" w:tblpY="38"/>
      <w:bidiVisual/>
      <w:tblW w:w="9648" w:type="dxa"/>
      <w:tblLayout w:type="fixed"/>
      <w:tblLook w:val="0000" w:firstRow="0" w:lastRow="0" w:firstColumn="0" w:lastColumn="0" w:noHBand="0" w:noVBand="0"/>
    </w:tblPr>
    <w:tblGrid>
      <w:gridCol w:w="4824"/>
      <w:gridCol w:w="4824"/>
    </w:tblGrid>
    <w:tr w:rsidR="00C95F9E" w:rsidRPr="000C48A9" w:rsidTr="007F5B3A">
      <w:trPr>
        <w:trHeight w:val="274"/>
      </w:trPr>
      <w:tc>
        <w:tcPr>
          <w:tcW w:w="4824" w:type="dxa"/>
        </w:tcPr>
        <w:p w:rsidR="00C95F9E" w:rsidRPr="000C48A9" w:rsidRDefault="00C95F9E" w:rsidP="007F5B3A">
          <w:pPr>
            <w:bidi/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היחידה למחלות זיהומיות</w:t>
          </w:r>
        </w:p>
      </w:tc>
      <w:tc>
        <w:tcPr>
          <w:tcW w:w="4824" w:type="dxa"/>
        </w:tcPr>
        <w:p w:rsidR="00C95F9E" w:rsidRPr="000C48A9" w:rsidRDefault="00C95F9E" w:rsidP="007F5B3A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</w:rPr>
            <w:t>Infectious Diseases Unit</w:t>
          </w:r>
        </w:p>
      </w:tc>
    </w:tr>
    <w:tr w:rsidR="00C95F9E" w:rsidRPr="000C48A9" w:rsidTr="007F5B3A">
      <w:trPr>
        <w:trHeight w:val="274"/>
      </w:trPr>
      <w:tc>
        <w:tcPr>
          <w:tcW w:w="4824" w:type="dxa"/>
        </w:tcPr>
        <w:p w:rsidR="00C95F9E" w:rsidRPr="000C48A9" w:rsidRDefault="00C95F9E" w:rsidP="007F5B3A">
          <w:pPr>
            <w:bidi/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>המרכז הרפואי ת"א</w:t>
          </w:r>
        </w:p>
      </w:tc>
      <w:tc>
        <w:tcPr>
          <w:tcW w:w="4824" w:type="dxa"/>
        </w:tcPr>
        <w:p w:rsidR="00C95F9E" w:rsidRPr="000C48A9" w:rsidRDefault="00C95F9E" w:rsidP="007F5B3A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smartTag w:uri="urn:schemas-microsoft-com:office:smarttags" w:element="place">
            <w:smartTag w:uri="urn:schemas-microsoft-com:office:smarttags" w:element="PlaceName">
              <w:r w:rsidRPr="000C48A9">
                <w:rPr>
                  <w:rFonts w:asciiTheme="minorBidi" w:hAnsiTheme="minorBidi"/>
                  <w:b/>
                  <w:bCs/>
                  <w:sz w:val="24"/>
                  <w:szCs w:val="24"/>
                </w:rPr>
                <w:t>Tel</w:t>
              </w:r>
            </w:smartTag>
            <w:r w:rsidRPr="000C48A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0C48A9">
                <w:rPr>
                  <w:rFonts w:asciiTheme="minorBidi" w:hAnsiTheme="minorBidi"/>
                  <w:b/>
                  <w:bCs/>
                  <w:sz w:val="24"/>
                  <w:szCs w:val="24"/>
                </w:rPr>
                <w:t>Aviv</w:t>
              </w:r>
            </w:smartTag>
            <w:r w:rsidRPr="000C48A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0C48A9">
                <w:rPr>
                  <w:rFonts w:asciiTheme="minorBidi" w:hAnsiTheme="minorBidi"/>
                  <w:b/>
                  <w:bCs/>
                  <w:sz w:val="24"/>
                  <w:szCs w:val="24"/>
                </w:rPr>
                <w:t>Medical</w:t>
              </w:r>
            </w:smartTag>
            <w:r w:rsidRPr="000C48A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0C48A9">
                <w:rPr>
                  <w:rFonts w:asciiTheme="minorBidi" w:hAnsiTheme="minorBidi"/>
                  <w:b/>
                  <w:bCs/>
                  <w:sz w:val="24"/>
                  <w:szCs w:val="24"/>
                </w:rPr>
                <w:t>Center</w:t>
              </w:r>
            </w:smartTag>
          </w:smartTag>
        </w:p>
      </w:tc>
    </w:tr>
    <w:tr w:rsidR="00C95F9E" w:rsidRPr="000C48A9" w:rsidTr="007F5B3A">
      <w:trPr>
        <w:trHeight w:val="274"/>
      </w:trPr>
      <w:tc>
        <w:tcPr>
          <w:tcW w:w="4824" w:type="dxa"/>
        </w:tcPr>
        <w:p w:rsidR="00C95F9E" w:rsidRPr="000C48A9" w:rsidRDefault="00C95F9E" w:rsidP="007F5B3A">
          <w:pPr>
            <w:bidi/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>רחוב ויצמן 6, תל אביב 64239</w:t>
          </w:r>
        </w:p>
      </w:tc>
      <w:tc>
        <w:tcPr>
          <w:tcW w:w="4824" w:type="dxa"/>
        </w:tcPr>
        <w:p w:rsidR="00C95F9E" w:rsidRPr="000C48A9" w:rsidRDefault="00C95F9E" w:rsidP="007F5B3A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smartTag w:uri="urn:schemas-microsoft-com:office:smarttags" w:element="Street">
            <w:smartTag w:uri="urn:schemas-microsoft-com:office:smarttags" w:element="address">
              <w:r w:rsidRPr="000C48A9">
                <w:rPr>
                  <w:rFonts w:asciiTheme="minorBidi" w:hAnsiTheme="minorBidi"/>
                  <w:b/>
                  <w:bCs/>
                  <w:sz w:val="24"/>
                  <w:szCs w:val="24"/>
                </w:rPr>
                <w:t xml:space="preserve">6 </w:t>
              </w:r>
              <w:proofErr w:type="spellStart"/>
              <w:r w:rsidRPr="000C48A9">
                <w:rPr>
                  <w:rFonts w:asciiTheme="minorBidi" w:hAnsiTheme="minorBidi"/>
                  <w:b/>
                  <w:bCs/>
                  <w:sz w:val="24"/>
                  <w:szCs w:val="24"/>
                </w:rPr>
                <w:t>Weizman</w:t>
              </w:r>
              <w:proofErr w:type="spellEnd"/>
              <w:r w:rsidRPr="000C48A9">
                <w:rPr>
                  <w:rFonts w:asciiTheme="minorBidi" w:hAnsiTheme="minorBidi"/>
                  <w:b/>
                  <w:bCs/>
                  <w:sz w:val="24"/>
                  <w:szCs w:val="24"/>
                </w:rPr>
                <w:t xml:space="preserve"> Street</w:t>
              </w:r>
            </w:smartTag>
          </w:smartTag>
          <w:r w:rsidRPr="000C48A9">
            <w:rPr>
              <w:rFonts w:asciiTheme="minorBidi" w:hAnsiTheme="minorBidi"/>
              <w:b/>
              <w:bCs/>
              <w:sz w:val="24"/>
              <w:szCs w:val="24"/>
            </w:rPr>
            <w:t>, Tel Aviv 64239</w:t>
          </w:r>
        </w:p>
      </w:tc>
    </w:tr>
    <w:tr w:rsidR="00C95F9E" w:rsidRPr="000C48A9" w:rsidTr="007F5B3A">
      <w:trPr>
        <w:trHeight w:val="274"/>
      </w:trPr>
      <w:tc>
        <w:tcPr>
          <w:tcW w:w="4824" w:type="dxa"/>
        </w:tcPr>
        <w:p w:rsidR="00C95F9E" w:rsidRPr="000C48A9" w:rsidRDefault="00C95F9E" w:rsidP="007F5B3A">
          <w:pPr>
            <w:bidi/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>טלפון:  697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4347</w:t>
          </w: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 xml:space="preserve"> -03</w:t>
          </w:r>
        </w:p>
      </w:tc>
      <w:tc>
        <w:tcPr>
          <w:tcW w:w="4824" w:type="dxa"/>
        </w:tcPr>
        <w:p w:rsidR="00C95F9E" w:rsidRPr="000C48A9" w:rsidRDefault="00C95F9E" w:rsidP="007F5B3A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 w:rsidRPr="000C48A9">
            <w:rPr>
              <w:rFonts w:asciiTheme="minorBidi" w:hAnsiTheme="minorBidi"/>
              <w:b/>
              <w:bCs/>
              <w:sz w:val="24"/>
              <w:szCs w:val="24"/>
            </w:rPr>
            <w:t xml:space="preserve">Tel: (972) 3 </w:t>
          </w: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>697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4347</w:t>
          </w:r>
        </w:p>
      </w:tc>
    </w:tr>
    <w:tr w:rsidR="00C95F9E" w:rsidRPr="000C48A9" w:rsidTr="007F5B3A">
      <w:trPr>
        <w:trHeight w:val="274"/>
      </w:trPr>
      <w:tc>
        <w:tcPr>
          <w:tcW w:w="4824" w:type="dxa"/>
        </w:tcPr>
        <w:p w:rsidR="00C95F9E" w:rsidRPr="000C48A9" w:rsidRDefault="00C95F9E" w:rsidP="007F5B3A">
          <w:pPr>
            <w:bidi/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>פקס:    697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4996</w:t>
          </w: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 xml:space="preserve"> -03</w:t>
          </w:r>
        </w:p>
      </w:tc>
      <w:tc>
        <w:tcPr>
          <w:tcW w:w="4824" w:type="dxa"/>
        </w:tcPr>
        <w:p w:rsidR="00C95F9E" w:rsidRPr="000C48A9" w:rsidRDefault="00C95F9E" w:rsidP="007F5B3A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 w:rsidRPr="000C48A9">
            <w:rPr>
              <w:rFonts w:asciiTheme="minorBidi" w:hAnsiTheme="minorBidi"/>
              <w:b/>
              <w:bCs/>
              <w:sz w:val="24"/>
              <w:szCs w:val="24"/>
            </w:rPr>
            <w:t xml:space="preserve">Fax: (972) 3 </w:t>
          </w:r>
          <w:r w:rsidRPr="000C48A9">
            <w:rPr>
              <w:rFonts w:asciiTheme="minorBidi" w:hAnsiTheme="minorBidi"/>
              <w:b/>
              <w:bCs/>
              <w:sz w:val="24"/>
              <w:szCs w:val="24"/>
              <w:rtl/>
            </w:rPr>
            <w:t>697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4996</w:t>
          </w:r>
        </w:p>
      </w:tc>
    </w:tr>
  </w:tbl>
  <w:p w:rsidR="00C95F9E" w:rsidRPr="0033416F" w:rsidRDefault="00C95F9E" w:rsidP="0033416F">
    <w:pPr>
      <w:jc w:val="center"/>
      <w:rPr>
        <w:rFonts w:cs="David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407"/>
    <w:multiLevelType w:val="hybridMultilevel"/>
    <w:tmpl w:val="2666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79A5"/>
    <w:multiLevelType w:val="hybridMultilevel"/>
    <w:tmpl w:val="5F407C70"/>
    <w:lvl w:ilvl="0" w:tplc="8D0C75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15C1"/>
    <w:multiLevelType w:val="hybridMultilevel"/>
    <w:tmpl w:val="C68EE8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91A"/>
    <w:multiLevelType w:val="hybridMultilevel"/>
    <w:tmpl w:val="FBE6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lood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tax9dx19frw7era0avvfefxta20tfz0d2p&quot;&gt;Ronens_lib&lt;record-ids&gt;&lt;item&gt;86&lt;/item&gt;&lt;/record-ids&gt;&lt;/item&gt;&lt;/Libraries&gt;"/>
  </w:docVars>
  <w:rsids>
    <w:rsidRoot w:val="00E05F94"/>
    <w:rsid w:val="00011614"/>
    <w:rsid w:val="00011AD0"/>
    <w:rsid w:val="00015964"/>
    <w:rsid w:val="00016310"/>
    <w:rsid w:val="00030DC0"/>
    <w:rsid w:val="00044FC7"/>
    <w:rsid w:val="0005071A"/>
    <w:rsid w:val="00050D8A"/>
    <w:rsid w:val="00053C83"/>
    <w:rsid w:val="00055FE1"/>
    <w:rsid w:val="000575CF"/>
    <w:rsid w:val="00057D23"/>
    <w:rsid w:val="00060AA4"/>
    <w:rsid w:val="00063D1C"/>
    <w:rsid w:val="00063F38"/>
    <w:rsid w:val="00074467"/>
    <w:rsid w:val="00075879"/>
    <w:rsid w:val="00082411"/>
    <w:rsid w:val="00082ADD"/>
    <w:rsid w:val="00086532"/>
    <w:rsid w:val="000A20A7"/>
    <w:rsid w:val="000C0155"/>
    <w:rsid w:val="000C1468"/>
    <w:rsid w:val="000C48A9"/>
    <w:rsid w:val="000C6305"/>
    <w:rsid w:val="000C6A4C"/>
    <w:rsid w:val="000D2CE7"/>
    <w:rsid w:val="000D3445"/>
    <w:rsid w:val="000D7DB7"/>
    <w:rsid w:val="000E6846"/>
    <w:rsid w:val="000F0210"/>
    <w:rsid w:val="000F5AF3"/>
    <w:rsid w:val="00107753"/>
    <w:rsid w:val="001175A4"/>
    <w:rsid w:val="00117BE1"/>
    <w:rsid w:val="00120595"/>
    <w:rsid w:val="00123EF6"/>
    <w:rsid w:val="00142F80"/>
    <w:rsid w:val="00144F3E"/>
    <w:rsid w:val="00145053"/>
    <w:rsid w:val="001601BF"/>
    <w:rsid w:val="00162CF9"/>
    <w:rsid w:val="00170D81"/>
    <w:rsid w:val="001834EB"/>
    <w:rsid w:val="001923C7"/>
    <w:rsid w:val="0019562E"/>
    <w:rsid w:val="00195825"/>
    <w:rsid w:val="001A5267"/>
    <w:rsid w:val="001B30FD"/>
    <w:rsid w:val="001C1B09"/>
    <w:rsid w:val="001C3C6E"/>
    <w:rsid w:val="001D1C2C"/>
    <w:rsid w:val="001E74C5"/>
    <w:rsid w:val="001F0087"/>
    <w:rsid w:val="001F208C"/>
    <w:rsid w:val="001F4306"/>
    <w:rsid w:val="00207DDB"/>
    <w:rsid w:val="0021085E"/>
    <w:rsid w:val="0021685B"/>
    <w:rsid w:val="002222BA"/>
    <w:rsid w:val="00232959"/>
    <w:rsid w:val="00234118"/>
    <w:rsid w:val="00237A8A"/>
    <w:rsid w:val="00241ADD"/>
    <w:rsid w:val="00242F0A"/>
    <w:rsid w:val="00245F66"/>
    <w:rsid w:val="00260D31"/>
    <w:rsid w:val="0026563E"/>
    <w:rsid w:val="0026684B"/>
    <w:rsid w:val="002734EE"/>
    <w:rsid w:val="00273B7B"/>
    <w:rsid w:val="00277802"/>
    <w:rsid w:val="00280BF4"/>
    <w:rsid w:val="00281CDD"/>
    <w:rsid w:val="00282D5F"/>
    <w:rsid w:val="00287961"/>
    <w:rsid w:val="00291981"/>
    <w:rsid w:val="00292CFE"/>
    <w:rsid w:val="00292FE7"/>
    <w:rsid w:val="002A1DC0"/>
    <w:rsid w:val="002A3FD3"/>
    <w:rsid w:val="002A640C"/>
    <w:rsid w:val="002B12CE"/>
    <w:rsid w:val="002B787D"/>
    <w:rsid w:val="002B7ADA"/>
    <w:rsid w:val="002D396B"/>
    <w:rsid w:val="002D5152"/>
    <w:rsid w:val="002E0030"/>
    <w:rsid w:val="002E6CB5"/>
    <w:rsid w:val="002F2690"/>
    <w:rsid w:val="002F408A"/>
    <w:rsid w:val="002F4F87"/>
    <w:rsid w:val="003005CA"/>
    <w:rsid w:val="00301609"/>
    <w:rsid w:val="003049E6"/>
    <w:rsid w:val="00307662"/>
    <w:rsid w:val="00307C67"/>
    <w:rsid w:val="00310EB3"/>
    <w:rsid w:val="00311E8E"/>
    <w:rsid w:val="00312CA8"/>
    <w:rsid w:val="00327DA9"/>
    <w:rsid w:val="003305C6"/>
    <w:rsid w:val="003313A9"/>
    <w:rsid w:val="00331E26"/>
    <w:rsid w:val="0033416F"/>
    <w:rsid w:val="00351A43"/>
    <w:rsid w:val="00356FFF"/>
    <w:rsid w:val="00367B1F"/>
    <w:rsid w:val="00370405"/>
    <w:rsid w:val="003713AB"/>
    <w:rsid w:val="00376601"/>
    <w:rsid w:val="0038003B"/>
    <w:rsid w:val="00381D44"/>
    <w:rsid w:val="003934C5"/>
    <w:rsid w:val="00394498"/>
    <w:rsid w:val="00394DD6"/>
    <w:rsid w:val="003A18F9"/>
    <w:rsid w:val="003B43C8"/>
    <w:rsid w:val="003B5E0A"/>
    <w:rsid w:val="003B6B06"/>
    <w:rsid w:val="003D6F50"/>
    <w:rsid w:val="003F0192"/>
    <w:rsid w:val="003F76E4"/>
    <w:rsid w:val="00407922"/>
    <w:rsid w:val="00412B79"/>
    <w:rsid w:val="004205F4"/>
    <w:rsid w:val="00426AFE"/>
    <w:rsid w:val="00431614"/>
    <w:rsid w:val="00433809"/>
    <w:rsid w:val="00447796"/>
    <w:rsid w:val="00462824"/>
    <w:rsid w:val="00466D43"/>
    <w:rsid w:val="004709F4"/>
    <w:rsid w:val="00471F35"/>
    <w:rsid w:val="00474824"/>
    <w:rsid w:val="00475A6E"/>
    <w:rsid w:val="00477652"/>
    <w:rsid w:val="00482567"/>
    <w:rsid w:val="00484A20"/>
    <w:rsid w:val="0048514B"/>
    <w:rsid w:val="00494129"/>
    <w:rsid w:val="004B088A"/>
    <w:rsid w:val="004C125A"/>
    <w:rsid w:val="004C1277"/>
    <w:rsid w:val="004C72A8"/>
    <w:rsid w:val="004E0761"/>
    <w:rsid w:val="004E307D"/>
    <w:rsid w:val="005015BB"/>
    <w:rsid w:val="00504E5A"/>
    <w:rsid w:val="00505B8C"/>
    <w:rsid w:val="00506487"/>
    <w:rsid w:val="00507A9D"/>
    <w:rsid w:val="0051131C"/>
    <w:rsid w:val="00513757"/>
    <w:rsid w:val="0051539F"/>
    <w:rsid w:val="00517F0A"/>
    <w:rsid w:val="0052184D"/>
    <w:rsid w:val="0052321F"/>
    <w:rsid w:val="0052424F"/>
    <w:rsid w:val="00530C46"/>
    <w:rsid w:val="0054164C"/>
    <w:rsid w:val="00547E9B"/>
    <w:rsid w:val="00556629"/>
    <w:rsid w:val="005655CC"/>
    <w:rsid w:val="005677AD"/>
    <w:rsid w:val="0057161B"/>
    <w:rsid w:val="0057253A"/>
    <w:rsid w:val="00580933"/>
    <w:rsid w:val="00591AF2"/>
    <w:rsid w:val="005A2462"/>
    <w:rsid w:val="005B180E"/>
    <w:rsid w:val="005D4AAC"/>
    <w:rsid w:val="005F6160"/>
    <w:rsid w:val="00607F00"/>
    <w:rsid w:val="00615B65"/>
    <w:rsid w:val="00626302"/>
    <w:rsid w:val="00626E3B"/>
    <w:rsid w:val="00627655"/>
    <w:rsid w:val="00631B72"/>
    <w:rsid w:val="00632803"/>
    <w:rsid w:val="00642809"/>
    <w:rsid w:val="00647B0F"/>
    <w:rsid w:val="006536A6"/>
    <w:rsid w:val="00661E45"/>
    <w:rsid w:val="00664BA9"/>
    <w:rsid w:val="0066712D"/>
    <w:rsid w:val="00670AFC"/>
    <w:rsid w:val="00670C4B"/>
    <w:rsid w:val="006731B5"/>
    <w:rsid w:val="00675034"/>
    <w:rsid w:val="00682077"/>
    <w:rsid w:val="0068561B"/>
    <w:rsid w:val="006915FB"/>
    <w:rsid w:val="006926BE"/>
    <w:rsid w:val="006A76F7"/>
    <w:rsid w:val="006B3241"/>
    <w:rsid w:val="006B592E"/>
    <w:rsid w:val="006E5F33"/>
    <w:rsid w:val="006E706B"/>
    <w:rsid w:val="006E71A8"/>
    <w:rsid w:val="006F1D2A"/>
    <w:rsid w:val="006F1EF4"/>
    <w:rsid w:val="006F5099"/>
    <w:rsid w:val="00700358"/>
    <w:rsid w:val="00723F80"/>
    <w:rsid w:val="00724406"/>
    <w:rsid w:val="00741AEE"/>
    <w:rsid w:val="0076199D"/>
    <w:rsid w:val="00776408"/>
    <w:rsid w:val="00797571"/>
    <w:rsid w:val="007A1DA8"/>
    <w:rsid w:val="007A4783"/>
    <w:rsid w:val="007A4AFB"/>
    <w:rsid w:val="007A4BE9"/>
    <w:rsid w:val="007C6A95"/>
    <w:rsid w:val="007D632E"/>
    <w:rsid w:val="007F1438"/>
    <w:rsid w:val="00806647"/>
    <w:rsid w:val="008115BD"/>
    <w:rsid w:val="008376E8"/>
    <w:rsid w:val="00852AA3"/>
    <w:rsid w:val="0086282C"/>
    <w:rsid w:val="00877289"/>
    <w:rsid w:val="00877943"/>
    <w:rsid w:val="00881666"/>
    <w:rsid w:val="00892136"/>
    <w:rsid w:val="008952E5"/>
    <w:rsid w:val="008A4C99"/>
    <w:rsid w:val="008A6AB6"/>
    <w:rsid w:val="008B2022"/>
    <w:rsid w:val="008B49D8"/>
    <w:rsid w:val="008C6069"/>
    <w:rsid w:val="008E027E"/>
    <w:rsid w:val="008F24C9"/>
    <w:rsid w:val="00900858"/>
    <w:rsid w:val="009027AC"/>
    <w:rsid w:val="0090791A"/>
    <w:rsid w:val="0092560E"/>
    <w:rsid w:val="00942D07"/>
    <w:rsid w:val="0096211B"/>
    <w:rsid w:val="00966E4A"/>
    <w:rsid w:val="00983262"/>
    <w:rsid w:val="009B18DD"/>
    <w:rsid w:val="009C4461"/>
    <w:rsid w:val="009E1E71"/>
    <w:rsid w:val="00A06305"/>
    <w:rsid w:val="00A17483"/>
    <w:rsid w:val="00A23A02"/>
    <w:rsid w:val="00A26AF4"/>
    <w:rsid w:val="00A34467"/>
    <w:rsid w:val="00A3594E"/>
    <w:rsid w:val="00A374A0"/>
    <w:rsid w:val="00A37F54"/>
    <w:rsid w:val="00A411E2"/>
    <w:rsid w:val="00A508D1"/>
    <w:rsid w:val="00A529CE"/>
    <w:rsid w:val="00A53B73"/>
    <w:rsid w:val="00A55210"/>
    <w:rsid w:val="00A955A6"/>
    <w:rsid w:val="00AC4F5A"/>
    <w:rsid w:val="00AD02F5"/>
    <w:rsid w:val="00AE1CA1"/>
    <w:rsid w:val="00B0271F"/>
    <w:rsid w:val="00B02FD6"/>
    <w:rsid w:val="00B03FC4"/>
    <w:rsid w:val="00B2407F"/>
    <w:rsid w:val="00B26064"/>
    <w:rsid w:val="00B279AF"/>
    <w:rsid w:val="00B33174"/>
    <w:rsid w:val="00B340A6"/>
    <w:rsid w:val="00B3422E"/>
    <w:rsid w:val="00B42B74"/>
    <w:rsid w:val="00B477DF"/>
    <w:rsid w:val="00B47B4D"/>
    <w:rsid w:val="00B5013D"/>
    <w:rsid w:val="00B53F68"/>
    <w:rsid w:val="00B65733"/>
    <w:rsid w:val="00B66792"/>
    <w:rsid w:val="00B77B3D"/>
    <w:rsid w:val="00B879D7"/>
    <w:rsid w:val="00BA3B1A"/>
    <w:rsid w:val="00BB78FE"/>
    <w:rsid w:val="00BD49A9"/>
    <w:rsid w:val="00BD634F"/>
    <w:rsid w:val="00BE57DF"/>
    <w:rsid w:val="00BF15B6"/>
    <w:rsid w:val="00C00B6D"/>
    <w:rsid w:val="00C23EAC"/>
    <w:rsid w:val="00C27647"/>
    <w:rsid w:val="00C306A1"/>
    <w:rsid w:val="00C34506"/>
    <w:rsid w:val="00C454CF"/>
    <w:rsid w:val="00C473C6"/>
    <w:rsid w:val="00C751F7"/>
    <w:rsid w:val="00C75FC9"/>
    <w:rsid w:val="00C80CED"/>
    <w:rsid w:val="00C8266A"/>
    <w:rsid w:val="00C869A7"/>
    <w:rsid w:val="00C8726B"/>
    <w:rsid w:val="00C905A9"/>
    <w:rsid w:val="00C95F9E"/>
    <w:rsid w:val="00C96EDB"/>
    <w:rsid w:val="00CA2F94"/>
    <w:rsid w:val="00CB083E"/>
    <w:rsid w:val="00CB5B1D"/>
    <w:rsid w:val="00CC30D5"/>
    <w:rsid w:val="00CD27C6"/>
    <w:rsid w:val="00CE4219"/>
    <w:rsid w:val="00CE6B22"/>
    <w:rsid w:val="00D20F0D"/>
    <w:rsid w:val="00D34527"/>
    <w:rsid w:val="00D35DFC"/>
    <w:rsid w:val="00D35FFB"/>
    <w:rsid w:val="00D5055B"/>
    <w:rsid w:val="00D57BC9"/>
    <w:rsid w:val="00D62D37"/>
    <w:rsid w:val="00D65BC4"/>
    <w:rsid w:val="00D76330"/>
    <w:rsid w:val="00D846C7"/>
    <w:rsid w:val="00D84F5D"/>
    <w:rsid w:val="00D8557A"/>
    <w:rsid w:val="00D86C39"/>
    <w:rsid w:val="00D920B1"/>
    <w:rsid w:val="00D94870"/>
    <w:rsid w:val="00DA21DA"/>
    <w:rsid w:val="00DB0CFB"/>
    <w:rsid w:val="00DB1C1A"/>
    <w:rsid w:val="00DB51E0"/>
    <w:rsid w:val="00DC1143"/>
    <w:rsid w:val="00DC52CF"/>
    <w:rsid w:val="00DC5A33"/>
    <w:rsid w:val="00DD2544"/>
    <w:rsid w:val="00DD6E6A"/>
    <w:rsid w:val="00DE38B7"/>
    <w:rsid w:val="00E05F94"/>
    <w:rsid w:val="00E06141"/>
    <w:rsid w:val="00E10E8C"/>
    <w:rsid w:val="00E17F30"/>
    <w:rsid w:val="00E25804"/>
    <w:rsid w:val="00E34D79"/>
    <w:rsid w:val="00E37429"/>
    <w:rsid w:val="00E43AE9"/>
    <w:rsid w:val="00E4668A"/>
    <w:rsid w:val="00E4764A"/>
    <w:rsid w:val="00E56E83"/>
    <w:rsid w:val="00E65B1B"/>
    <w:rsid w:val="00E701C4"/>
    <w:rsid w:val="00E75685"/>
    <w:rsid w:val="00E76F00"/>
    <w:rsid w:val="00E8322E"/>
    <w:rsid w:val="00E93BCE"/>
    <w:rsid w:val="00E93C16"/>
    <w:rsid w:val="00E9684A"/>
    <w:rsid w:val="00EB16AD"/>
    <w:rsid w:val="00EC4E67"/>
    <w:rsid w:val="00EF43E8"/>
    <w:rsid w:val="00EF4751"/>
    <w:rsid w:val="00F17CE3"/>
    <w:rsid w:val="00F23854"/>
    <w:rsid w:val="00F248DC"/>
    <w:rsid w:val="00F25A1E"/>
    <w:rsid w:val="00F3034E"/>
    <w:rsid w:val="00F36445"/>
    <w:rsid w:val="00F47BD2"/>
    <w:rsid w:val="00F52A04"/>
    <w:rsid w:val="00F6144B"/>
    <w:rsid w:val="00F63A1E"/>
    <w:rsid w:val="00F7558F"/>
    <w:rsid w:val="00F836D7"/>
    <w:rsid w:val="00F87D81"/>
    <w:rsid w:val="00F90764"/>
    <w:rsid w:val="00FA7E85"/>
    <w:rsid w:val="00FB1EC2"/>
    <w:rsid w:val="00FB52AE"/>
    <w:rsid w:val="00FC3787"/>
    <w:rsid w:val="00FD28E5"/>
    <w:rsid w:val="00FD424F"/>
    <w:rsid w:val="00FD519D"/>
    <w:rsid w:val="00FD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4668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A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4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934C5"/>
  </w:style>
  <w:style w:type="paragraph" w:styleId="a8">
    <w:name w:val="footer"/>
    <w:basedOn w:val="a"/>
    <w:link w:val="a9"/>
    <w:uiPriority w:val="99"/>
    <w:unhideWhenUsed/>
    <w:rsid w:val="003934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934C5"/>
  </w:style>
  <w:style w:type="paragraph" w:styleId="aa">
    <w:name w:val="Body Text"/>
    <w:basedOn w:val="a"/>
    <w:link w:val="ab"/>
    <w:rsid w:val="00E05F94"/>
    <w:pPr>
      <w:bidi/>
      <w:spacing w:after="0" w:line="240" w:lineRule="auto"/>
      <w:jc w:val="center"/>
    </w:pPr>
    <w:rPr>
      <w:rFonts w:ascii="Times New Roman" w:eastAsia="Times New Roman" w:hAnsi="Times New Roman" w:cs="Miriam"/>
      <w:b/>
      <w:bCs/>
      <w:i/>
      <w:iCs/>
      <w:sz w:val="32"/>
      <w:szCs w:val="20"/>
      <w:u w:val="single"/>
    </w:rPr>
  </w:style>
  <w:style w:type="character" w:customStyle="1" w:styleId="ab">
    <w:name w:val="גוף טקסט תו"/>
    <w:basedOn w:val="a0"/>
    <w:link w:val="aa"/>
    <w:rsid w:val="00E05F94"/>
    <w:rPr>
      <w:rFonts w:ascii="Times New Roman" w:eastAsia="Times New Roman" w:hAnsi="Times New Roman" w:cs="Miriam"/>
      <w:b/>
      <w:bCs/>
      <w:i/>
      <w:iCs/>
      <w:sz w:val="32"/>
      <w:szCs w:val="20"/>
      <w:u w:val="single"/>
    </w:rPr>
  </w:style>
  <w:style w:type="table" w:styleId="ac">
    <w:name w:val="Table Grid"/>
    <w:basedOn w:val="a1"/>
    <w:uiPriority w:val="59"/>
    <w:rsid w:val="003A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4668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A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4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934C5"/>
  </w:style>
  <w:style w:type="paragraph" w:styleId="a8">
    <w:name w:val="footer"/>
    <w:basedOn w:val="a"/>
    <w:link w:val="a9"/>
    <w:uiPriority w:val="99"/>
    <w:unhideWhenUsed/>
    <w:rsid w:val="003934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934C5"/>
  </w:style>
  <w:style w:type="paragraph" w:styleId="aa">
    <w:name w:val="Body Text"/>
    <w:basedOn w:val="a"/>
    <w:link w:val="ab"/>
    <w:rsid w:val="00E05F94"/>
    <w:pPr>
      <w:bidi/>
      <w:spacing w:after="0" w:line="240" w:lineRule="auto"/>
      <w:jc w:val="center"/>
    </w:pPr>
    <w:rPr>
      <w:rFonts w:ascii="Times New Roman" w:eastAsia="Times New Roman" w:hAnsi="Times New Roman" w:cs="Miriam"/>
      <w:b/>
      <w:bCs/>
      <w:i/>
      <w:iCs/>
      <w:sz w:val="32"/>
      <w:szCs w:val="20"/>
      <w:u w:val="single"/>
    </w:rPr>
  </w:style>
  <w:style w:type="character" w:customStyle="1" w:styleId="ab">
    <w:name w:val="גוף טקסט תו"/>
    <w:basedOn w:val="a0"/>
    <w:link w:val="aa"/>
    <w:rsid w:val="00E05F94"/>
    <w:rPr>
      <w:rFonts w:ascii="Times New Roman" w:eastAsia="Times New Roman" w:hAnsi="Times New Roman" w:cs="Miriam"/>
      <w:b/>
      <w:bCs/>
      <w:i/>
      <w:iCs/>
      <w:sz w:val="32"/>
      <w:szCs w:val="20"/>
      <w:u w:val="single"/>
    </w:rPr>
  </w:style>
  <w:style w:type="table" w:styleId="ac">
    <w:name w:val="Table Grid"/>
    <w:basedOn w:val="a1"/>
    <w:uiPriority w:val="59"/>
    <w:rsid w:val="003A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ID_Unit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80DD3AD88741E48A2315A1A18E522B0" ma:contentTypeVersion="1" ma:contentTypeDescription="צור מסמך חדש." ma:contentTypeScope="" ma:versionID="d94faba62d6d9f9ff9f66bf73acf1d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782CA-3346-46F6-AE1E-960AF26A1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1953-DCB4-42A9-9CDD-CF499F504A73}"/>
</file>

<file path=customXml/itemProps3.xml><?xml version="1.0" encoding="utf-8"?>
<ds:datastoreItem xmlns:ds="http://schemas.openxmlformats.org/officeDocument/2006/customXml" ds:itemID="{378C15BD-8217-4742-8649-870D17AB3E86}"/>
</file>

<file path=customXml/itemProps4.xml><?xml version="1.0" encoding="utf-8"?>
<ds:datastoreItem xmlns:ds="http://schemas.openxmlformats.org/officeDocument/2006/customXml" ds:itemID="{536D6CA0-55BE-428B-B843-FDADBECFAF9D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4</Pages>
  <Words>650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 Ben-Ami</dc:creator>
  <cp:lastModifiedBy>user</cp:lastModifiedBy>
  <cp:revision>2</cp:revision>
  <cp:lastPrinted>2013-12-03T07:11:00Z</cp:lastPrinted>
  <dcterms:created xsi:type="dcterms:W3CDTF">2017-08-13T06:31:00Z</dcterms:created>
  <dcterms:modified xsi:type="dcterms:W3CDTF">2017-08-13T06:31:00Z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0x010100780DD3AD88741E48A2315A1A18E522B0</vt:lpwstr>
  </property>
</Properties>
</file>